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OLE_LINK2"/>
      <w:bookmarkStart w:id="1" w:name="_Hlk19781073"/>
      <w:r>
        <w:t>3GPP T</w:t>
      </w:r>
      <w:bookmarkStart w:id="2" w:name="_Ref452454252"/>
      <w:bookmarkEnd w:id="2"/>
      <w:r>
        <w:t>SG-</w:t>
      </w:r>
      <w:r>
        <w:rPr>
          <w:szCs w:val="24"/>
        </w:rPr>
        <w:t>RAN WG3 Meeting #</w:t>
      </w:r>
      <w:r>
        <w:rPr>
          <w:rFonts w:hint="eastAsia" w:eastAsia="宋体"/>
          <w:szCs w:val="24"/>
          <w:lang w:val="en-US" w:eastAsia="zh-CN"/>
        </w:rPr>
        <w:t>122</w:t>
      </w:r>
      <w:r>
        <w:tab/>
      </w:r>
      <w:r>
        <w:rPr>
          <w:rFonts w:hint="eastAsia"/>
          <w:lang w:eastAsia="ja-JP"/>
        </w:rPr>
        <w:t>R3-237630</w:t>
      </w:r>
    </w:p>
    <w:p>
      <w:pPr>
        <w:pStyle w:val="117"/>
        <w:rPr>
          <w:rFonts w:hint="default" w:eastAsia="宋体"/>
          <w:lang w:val="en-US" w:eastAsia="zh-CN"/>
        </w:rPr>
      </w:pPr>
      <w:bookmarkStart w:id="3" w:name="_Hlk19781143"/>
      <w:r>
        <w:rPr>
          <w:rFonts w:hint="eastAsia" w:eastAsia="宋体"/>
          <w:lang w:val="en-US" w:eastAsia="zh-CN"/>
        </w:rPr>
        <w:t>Chicago, US, 13 - 17 November 2023</w:t>
      </w:r>
    </w:p>
    <w:bookmarkEnd w:id="0"/>
    <w:bookmarkEnd w:id="1"/>
    <w:bookmarkEnd w:id="3"/>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25.2.2</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Discussion on ECN marking and PDU Set discard</w:t>
      </w:r>
    </w:p>
    <w:p>
      <w:pPr>
        <w:pStyle w:val="88"/>
        <w:rPr>
          <w:rFonts w:hint="eastAsia" w:eastAsia="宋体"/>
          <w:lang w:val="en-US" w:eastAsia="zh-CN"/>
        </w:rPr>
      </w:pPr>
      <w:r>
        <w:t>Document for:</w:t>
      </w:r>
      <w:r>
        <w:tab/>
      </w:r>
      <w:r>
        <w:t xml:space="preserve">Discussions &amp; </w:t>
      </w:r>
      <w:r>
        <w:rPr>
          <w:lang w:eastAsia="ja-JP"/>
        </w:rPr>
        <w:t>Approval</w:t>
      </w:r>
    </w:p>
    <w:p>
      <w:pPr>
        <w:pStyle w:val="2"/>
        <w:rPr>
          <w:rFonts w:cs="Arial"/>
        </w:rPr>
      </w:pPr>
      <w:bookmarkStart w:id="4" w:name="OLE_LINK1"/>
      <w:r>
        <w:rPr>
          <w:rFonts w:cs="Arial"/>
        </w:rPr>
        <w:t>1</w:t>
      </w:r>
      <w:r>
        <w:rPr>
          <w:rFonts w:cs="Arial"/>
        </w:rPr>
        <w:tab/>
      </w:r>
      <w:r>
        <w:rPr>
          <w:rFonts w:cs="Arial"/>
        </w:rPr>
        <w:t>Introduction</w:t>
      </w:r>
    </w:p>
    <w:bookmarkEnd w:id="4"/>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bookmarkStart w:id="5" w:name="OLE_LINK34"/>
      <w:r>
        <w:rPr>
          <w:rFonts w:hint="eastAsia" w:ascii="Arial" w:hAnsi="Arial" w:eastAsia="Times New Roman" w:cs="Arial"/>
          <w:sz w:val="20"/>
          <w:szCs w:val="20"/>
          <w:lang w:val="en-US" w:eastAsia="zh-CN" w:bidi="ar-SA"/>
        </w:rPr>
        <w:t>We made the following progress at the RAN3#121 meeting.</w:t>
      </w:r>
    </w:p>
    <w:bookmarkEnd w:id="5"/>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pStyle w:val="119"/>
              <w:numPr>
                <w:ilvl w:val="0"/>
                <w:numId w:val="1"/>
              </w:numPr>
              <w:overflowPunct/>
              <w:autoSpaceDE/>
              <w:adjustRightInd/>
              <w:spacing w:after="0" w:line="276" w:lineRule="auto"/>
              <w:ind w:left="360"/>
              <w:textAlignment w:val="auto"/>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Add the ECN Marking Request indicator or the information used to request congestion monitoring over NGAP, XnAP, and E1AP. The granularity over interfaces can be further checked.</w:t>
            </w:r>
          </w:p>
          <w:p>
            <w:pPr>
              <w:pStyle w:val="119"/>
              <w:numPr>
                <w:ilvl w:val="0"/>
                <w:numId w:val="1"/>
              </w:numPr>
              <w:overflowPunct/>
              <w:autoSpaceDE/>
              <w:adjustRightInd/>
              <w:spacing w:after="0" w:line="276" w:lineRule="auto"/>
              <w:ind w:left="360"/>
              <w:textAlignment w:val="auto"/>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Add the information used to request congestion monitoring over F1AP. </w:t>
            </w:r>
          </w:p>
          <w:p>
            <w:pPr>
              <w:pStyle w:val="119"/>
              <w:numPr>
                <w:ilvl w:val="0"/>
                <w:numId w:val="1"/>
              </w:numPr>
              <w:overflowPunct/>
              <w:autoSpaceDE/>
              <w:adjustRightInd/>
              <w:spacing w:after="0" w:line="276" w:lineRule="auto"/>
              <w:ind w:left="360"/>
              <w:textAlignment w:val="auto"/>
              <w:rPr>
                <w:rFonts w:ascii="Calibri" w:hAnsi="Calibri" w:cs="Calibri"/>
                <w:b/>
                <w:color w:val="008000"/>
                <w:sz w:val="18"/>
                <w:lang w:eastAsia="en-US"/>
              </w:rPr>
            </w:pPr>
            <w:r>
              <w:rPr>
                <w:rFonts w:ascii="Calibri" w:hAnsi="Calibri" w:eastAsia="MS Mincho" w:cs="Calibri"/>
                <w:i/>
                <w:iCs/>
                <w:color w:val="00B050"/>
                <w:kern w:val="2"/>
                <w:sz w:val="16"/>
                <w:szCs w:val="16"/>
              </w:rPr>
              <w:t>NG-RAN node provides the indication whether the QoS Flow is established with ECN marking request or congestion monitoring request activated or not activated over NGAP, F1AP and E1AP.</w:t>
            </w:r>
            <w:r>
              <w:rPr>
                <w:rFonts w:ascii="Calibri" w:hAnsi="Calibri" w:cs="Calibri"/>
                <w:i/>
                <w:color w:val="FF0000"/>
                <w:sz w:val="16"/>
                <w:szCs w:val="16"/>
              </w:rPr>
              <w:t xml:space="preserve"> FFS on XnAP. </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RAN3 agrees to address SA case with the first priority.</w:t>
            </w:r>
          </w:p>
          <w:p>
            <w:pPr>
              <w:overflowPunct w:val="0"/>
              <w:autoSpaceDE w:val="0"/>
              <w:autoSpaceDN w:val="0"/>
              <w:adjustRightInd w:val="0"/>
              <w:spacing w:before="100" w:beforeAutospacing="1"/>
              <w:textAlignment w:val="baseline"/>
              <w:rPr>
                <w:rFonts w:ascii="Calibri" w:hAnsi="Calibri" w:eastAsia="宋体" w:cs="Calibri"/>
                <w:b/>
                <w:color w:val="0000FF"/>
                <w:sz w:val="18"/>
                <w:szCs w:val="20"/>
                <w:lang w:val="en-US" w:eastAsia="zh-CN"/>
              </w:rPr>
            </w:pPr>
            <w:r>
              <w:rPr>
                <w:rFonts w:ascii="Calibri" w:hAnsi="Calibri" w:eastAsia="MS Mincho" w:cs="Calibri"/>
                <w:i/>
                <w:iCs/>
                <w:color w:val="00B050"/>
                <w:kern w:val="2"/>
                <w:sz w:val="16"/>
                <w:szCs w:val="16"/>
                <w:lang w:val="en-US" w:eastAsia="zh-CN"/>
              </w:rPr>
              <w:t>For TS 38.415 (PDU TYPE 1) and TS 38.425 (PDU TYPE 2) , two new presence flags are needed.</w:t>
            </w:r>
            <w:r>
              <w:rPr>
                <w:rFonts w:ascii="Calibri" w:hAnsi="Calibri" w:eastAsia="宋体" w:cs="Calibri"/>
                <w:i/>
                <w:color w:val="FF0000"/>
                <w:sz w:val="16"/>
                <w:szCs w:val="16"/>
                <w:lang w:val="en-US" w:eastAsia="zh-CN"/>
              </w:rPr>
              <w:t xml:space="preserve"> FFS on the details (names and descriptions).</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There is a single piece of information produced by NG-RAN to address ECN marking for L4S at UPF and congestion information exposure.</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Agree the basic structure in the SoD for the request IE for XnAP, NGAP and E1AP to transfer the request.</w:t>
            </w:r>
          </w:p>
          <w:p>
            <w:pPr>
              <w:overflowPunct w:val="0"/>
              <w:autoSpaceDE w:val="0"/>
              <w:autoSpaceDN w:val="0"/>
              <w:adjustRightInd w:val="0"/>
              <w:spacing w:before="100" w:beforeAutospacing="1"/>
              <w:textAlignment w:val="baseline"/>
              <w:rPr>
                <w:rFonts w:ascii="Calibri" w:hAnsi="Calibri" w:eastAsia="MS Mincho" w:cs="Calibri"/>
                <w:color w:val="00B050"/>
                <w:sz w:val="20"/>
                <w:szCs w:val="20"/>
                <w:lang w:val="en-US" w:eastAsia="zh-CN"/>
              </w:rPr>
            </w:pPr>
            <w:r>
              <w:rPr>
                <w:rFonts w:ascii="Calibri" w:hAnsi="Calibri" w:eastAsia="MS Mincho" w:cs="Calibri"/>
                <w:i/>
                <w:iCs/>
                <w:color w:val="00B050"/>
                <w:kern w:val="2"/>
                <w:sz w:val="16"/>
                <w:szCs w:val="16"/>
                <w:lang w:val="en-US" w:eastAsia="zh-CN"/>
              </w:rPr>
              <w:t xml:space="preserve">For F1AP, only one information request IE is needed. </w:t>
            </w:r>
            <w:r>
              <w:rPr>
                <w:rFonts w:ascii="Calibri" w:hAnsi="Calibri" w:eastAsia="宋体" w:cs="Calibri"/>
                <w:i/>
                <w:color w:val="FF0000"/>
                <w:sz w:val="16"/>
                <w:szCs w:val="16"/>
                <w:lang w:val="en-US" w:eastAsia="zh-CN"/>
              </w:rPr>
              <w:t xml:space="preserve">FFS on the IE name. </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Add the request IE in the same level of the QoS Flow Level QoS Parameters IE.</w:t>
            </w:r>
          </w:p>
          <w:p>
            <w:pPr>
              <w:overflowPunct w:val="0"/>
              <w:autoSpaceDE w:val="0"/>
              <w:autoSpaceDN w:val="0"/>
              <w:adjustRightInd w:val="0"/>
              <w:spacing w:before="100" w:beforeAutospacing="1"/>
              <w:textAlignment w:val="baseline"/>
              <w:rPr>
                <w:rFonts w:ascii="Calibri" w:hAnsi="Calibri" w:eastAsia="宋体" w:cs="Calibri"/>
                <w:b/>
                <w:color w:val="0000FF"/>
                <w:sz w:val="18"/>
                <w:szCs w:val="20"/>
                <w:lang w:val="en-US" w:eastAsia="zh-CN"/>
              </w:rPr>
            </w:pPr>
            <w:r>
              <w:rPr>
                <w:rFonts w:ascii="Calibri" w:hAnsi="Calibri" w:eastAsia="MS Mincho" w:cs="Calibri"/>
                <w:i/>
                <w:iCs/>
                <w:color w:val="00B050"/>
                <w:kern w:val="2"/>
                <w:sz w:val="16"/>
                <w:szCs w:val="16"/>
                <w:lang w:val="en-US" w:eastAsia="zh-CN"/>
              </w:rPr>
              <w:t xml:space="preserve">Agree the basic structure in the SoD for the feedback IE. </w:t>
            </w:r>
            <w:r>
              <w:rPr>
                <w:rFonts w:ascii="Calibri" w:hAnsi="Calibri" w:eastAsia="宋体" w:cs="Calibri"/>
                <w:i/>
                <w:color w:val="FF0000"/>
                <w:sz w:val="16"/>
                <w:szCs w:val="16"/>
                <w:lang w:val="en-US" w:eastAsia="zh-CN"/>
              </w:rPr>
              <w:t>FFS whether separate feedback IEs are needed for uplink and downlink.</w:t>
            </w:r>
          </w:p>
          <w:p>
            <w:pPr>
              <w:overflowPunct w:val="0"/>
              <w:autoSpaceDE w:val="0"/>
              <w:autoSpaceDN w:val="0"/>
              <w:adjustRightInd w:val="0"/>
              <w:spacing w:after="180"/>
              <w:ind w:left="568" w:hanging="284"/>
              <w:textAlignment w:val="baseline"/>
              <w:rPr>
                <w:rFonts w:eastAsia="宋体" w:cs="Times New Roman"/>
                <w:bCs/>
                <w:kern w:val="2"/>
                <w:sz w:val="21"/>
                <w:szCs w:val="24"/>
                <w:lang w:val="en-US" w:eastAsia="zh-CN"/>
              </w:rPr>
            </w:pPr>
            <w:r>
              <w:rPr>
                <w:rFonts w:ascii="Calibri" w:hAnsi="Calibri" w:eastAsia="宋体" w:cs="Calibri"/>
                <w:i/>
                <w:color w:val="FF0000"/>
                <w:kern w:val="0"/>
                <w:sz w:val="16"/>
                <w:szCs w:val="16"/>
              </w:rPr>
              <w:t>Work on open issues, stage2 and stage3 details.</w:t>
            </w:r>
          </w:p>
        </w:tc>
      </w:tr>
    </w:tbl>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This paper further discusses on ECN marking and PDU Set discard of XR enhancements.</w:t>
      </w:r>
    </w:p>
    <w:p>
      <w:pPr>
        <w:keepNext/>
        <w:keepLines/>
        <w:pBdr>
          <w:top w:val="single" w:color="auto" w:sz="12" w:space="3"/>
        </w:pBdr>
        <w:spacing w:before="240" w:after="180"/>
        <w:ind w:left="1134" w:hanging="1134"/>
        <w:outlineLvl w:val="0"/>
        <w:rPr>
          <w:rFonts w:hint="eastAsia" w:ascii="Arial" w:hAnsi="Arial" w:eastAsia="Times New Roman" w:cs="Arial"/>
          <w:sz w:val="22"/>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eastAsia="宋体" w:cs="Times New Roman"/>
          <w:sz w:val="32"/>
          <w:lang w:val="en-US" w:eastAsia="zh-CN" w:bidi="ar-SA"/>
        </w:rPr>
      </w:pPr>
      <w:bookmarkStart w:id="6" w:name="OLE_LINK12"/>
      <w:bookmarkStart w:id="7" w:name="OLE_LINK21"/>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2</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ECN marking</w:t>
      </w:r>
      <w:bookmarkEnd w:id="6"/>
    </w:p>
    <w:p>
      <w:pPr>
        <w:pStyle w:val="4"/>
        <w:bidi w:val="0"/>
        <w:rPr>
          <w:rFonts w:hint="default"/>
          <w:lang w:val="en-US" w:eastAsia="zh-CN"/>
        </w:rPr>
      </w:pPr>
      <w:r>
        <w:rPr>
          <w:rFonts w:hint="eastAsia"/>
          <w:lang w:val="en-US" w:eastAsia="zh-CN"/>
        </w:rPr>
        <w:t>2.2.1</w:t>
      </w:r>
      <w:r>
        <w:rPr>
          <w:rFonts w:hint="eastAsia"/>
          <w:lang w:val="en-US" w:eastAsia="zh-CN"/>
        </w:rPr>
        <w:tab/>
      </w:r>
      <w:r>
        <w:rPr>
          <w:rFonts w:hint="eastAsia"/>
          <w:lang w:val="en-US" w:eastAsia="zh-CN"/>
        </w:rPr>
        <w:t>Congestion information reporting</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it is still FFS on the following issue.</w:t>
      </w:r>
    </w:p>
    <w:p>
      <w:pPr>
        <w:overflowPunct w:val="0"/>
        <w:autoSpaceDE w:val="0"/>
        <w:autoSpaceDN w:val="0"/>
        <w:adjustRightInd w:val="0"/>
        <w:spacing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For information to be reported over the user plane, down select the following two options:</w:t>
      </w:r>
    </w:p>
    <w:p>
      <w:pPr>
        <w:overflowPunct w:val="0"/>
        <w:autoSpaceDE w:val="0"/>
        <w:autoSpaceDN w:val="0"/>
        <w:adjustRightInd w:val="0"/>
        <w:spacing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Option 1: make the contents of these IE to be the percentage of IP packets that should be ECN marked in uplink and downlink</w:t>
      </w:r>
    </w:p>
    <w:p>
      <w:pPr>
        <w:overflowPunct w:val="0"/>
        <w:autoSpaceDE w:val="0"/>
        <w:autoSpaceDN w:val="0"/>
        <w:adjustRightInd w:val="0"/>
        <w:spacing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Option 2: make the contents of these IE to be the percentage of congestion level in uplink and downlink</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TS 23.501 has specified the following contents.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5.37.3.3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Support of ECN marking for L4S in PSA UPF</w:t>
            </w:r>
          </w:p>
          <w:p>
            <w:pPr>
              <w:overflowPunct w:val="0"/>
              <w:autoSpaceDE w:val="0"/>
              <w:autoSpaceDN w:val="0"/>
              <w:adjustRightInd w:val="0"/>
              <w:textAlignment w:val="baseline"/>
              <w:rPr>
                <w:lang w:eastAsia="en-GB"/>
              </w:rPr>
            </w:pPr>
            <w:r>
              <w:rPr>
                <w:lang w:eastAsia="en-GB"/>
              </w:rPr>
              <w:t xml:space="preserve">To enable ECN marking for L4S by a PSA UPF, a QoS Flow level ECN marking for L4S indicator may be sent by SMF to PSA UPF over N4. SMF also indicates to NG-RAN to </w:t>
            </w:r>
            <w:r>
              <w:rPr>
                <w:highlight w:val="yellow"/>
                <w:lang w:eastAsia="en-GB"/>
              </w:rPr>
              <w:t>report the congestion information (i.e. a percentage of packets that UPF uses for ECN marking for L4S)</w:t>
            </w:r>
            <w:r>
              <w:rPr>
                <w:lang w:eastAsia="en-GB"/>
              </w:rPr>
              <w:t xml:space="preserve"> of the QoS Flow on UL and/or DL directions via GTP-U header extension to PSA UPF. If there is no UL packet when report for DL and/or UL needs to be provided, NG-RAN may generate an UL Dummy GTP-U Packet for such a reporting.</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4"/>
                <w:lang w:val="en-GB" w:eastAsia="en-GB" w:bidi="ar-SA"/>
              </w:rPr>
            </w:pPr>
            <w:bookmarkStart w:id="8" w:name="_Toc145936259"/>
            <w:r>
              <w:rPr>
                <w:rFonts w:ascii="Arial" w:hAnsi="Arial" w:eastAsia="Times New Roman" w:cs="Times New Roman"/>
                <w:sz w:val="24"/>
                <w:lang w:val="en-GB" w:eastAsia="en-GB" w:bidi="ar-SA"/>
              </w:rPr>
              <w:t>5.37.4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Network Exposure of 5GS information</w:t>
            </w:r>
            <w:bookmarkEnd w:id="8"/>
          </w:p>
          <w:p>
            <w:pPr>
              <w:overflowPunct w:val="0"/>
              <w:autoSpaceDE w:val="0"/>
              <w:autoSpaceDN w:val="0"/>
              <w:adjustRightInd w:val="0"/>
              <w:textAlignment w:val="baseline"/>
              <w:rPr>
                <w:lang w:eastAsia="en-GB"/>
              </w:rPr>
            </w:pPr>
            <w:r>
              <w:rPr>
                <w:lang w:eastAsia="en-GB"/>
              </w:rPr>
              <w:t>5GS and XR/media services cooperate to provide a better user experience using External Network Exposure.</w:t>
            </w:r>
          </w:p>
          <w:p>
            <w:pPr>
              <w:overflowPunct w:val="0"/>
              <w:autoSpaceDE w:val="0"/>
              <w:autoSpaceDN w:val="0"/>
              <w:adjustRightInd w:val="0"/>
              <w:textAlignment w:val="baseline"/>
              <w:rPr>
                <w:lang w:eastAsia="en-GB"/>
              </w:rPr>
            </w:pPr>
            <w:r>
              <w:rPr>
                <w:lang w:eastAsia="en-GB"/>
              </w:rPr>
              <w:t>Based on the AF request, the 5GS can expose the following information based on the QoS Monitoring as defined in clause 5.33.3 and/or clause 5.45:</w:t>
            </w:r>
          </w:p>
          <w:p>
            <w:pPr>
              <w:overflowPunct w:val="0"/>
              <w:autoSpaceDE w:val="0"/>
              <w:autoSpaceDN w:val="0"/>
              <w:adjustRightInd w:val="0"/>
              <w:spacing w:after="180"/>
              <w:ind w:left="568" w:hanging="284"/>
              <w:contextualSpacing w:val="0"/>
              <w:textAlignment w:val="baseline"/>
              <w:rPr>
                <w:rFonts w:eastAsia="宋体" w:cs="Times New Roman"/>
                <w:bCs/>
                <w:kern w:val="2"/>
                <w:sz w:val="21"/>
                <w:szCs w:val="24"/>
                <w:lang w:val="en-US" w:eastAsia="zh-CN"/>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the UL and/or DL congestion information monitoring (see clause 5.45.3), based on the PCC rule from PCF, the SMF requests the NG-RAN to report the information via GTP-U header to PSA UPF </w:t>
            </w:r>
            <w:r>
              <w:rPr>
                <w:rFonts w:ascii="Times New Roman" w:hAnsi="Times New Roman" w:eastAsia="Times New Roman" w:cs="Times New Roman"/>
                <w:highlight w:val="yellow"/>
                <w:lang w:val="en-GB" w:eastAsia="en-GB" w:bidi="ar-SA"/>
              </w:rPr>
              <w:t>This NG-RAN reported information is common to support congestion information exposure and to support ECN marking for L4S in PSA UPF as described in clause</w:t>
            </w:r>
            <w:r>
              <w:rPr>
                <w:rFonts w:hint="eastAsia" w:eastAsia="宋体" w:cs="Times New Roman"/>
                <w:highlight w:val="yellow"/>
                <w:lang w:val="en-US" w:eastAsia="zh-CN" w:bidi="ar-SA"/>
              </w:rPr>
              <w:t xml:space="preserve"> </w:t>
            </w:r>
            <w:r>
              <w:rPr>
                <w:rFonts w:ascii="Times New Roman" w:hAnsi="Times New Roman" w:eastAsia="Times New Roman" w:cs="Times New Roman"/>
                <w:highlight w:val="yellow"/>
                <w:lang w:val="en-GB" w:eastAsia="en-GB" w:bidi="ar-SA"/>
              </w:rPr>
              <w:t>5.37.3.3.</w:t>
            </w:r>
            <w:r>
              <w:rPr>
                <w:rFonts w:ascii="Times New Roman" w:hAnsi="Times New Roman" w:eastAsia="Times New Roman" w:cs="Times New Roman"/>
                <w:lang w:val="en-GB" w:eastAsia="en-GB" w:bidi="ar-SA"/>
              </w:rPr>
              <w:t xml:space="preserve"> In the case of congestion information exposure, the PSA UPF exposes the UL and/or DL congestion information via Nupf_EventExposure service or via SMF/PCF/NEF as described in clause</w:t>
            </w:r>
            <w:r>
              <w:rPr>
                <w:rFonts w:hint="eastAsia" w:eastAsia="宋体" w:cs="Times New Roman"/>
                <w:lang w:val="en-US" w:eastAsia="zh-CN" w:bidi="ar-SA"/>
              </w:rPr>
              <w:t xml:space="preserve"> </w:t>
            </w:r>
            <w:r>
              <w:rPr>
                <w:rFonts w:ascii="Times New Roman" w:hAnsi="Times New Roman" w:eastAsia="Times New Roman" w:cs="Times New Roman"/>
                <w:lang w:val="en-GB" w:eastAsia="en-GB" w:bidi="ar-SA"/>
              </w:rPr>
              <w:t>5.8.2.18. It can be applied to a Non-GBR or GBR QoS flow.</w:t>
            </w:r>
          </w:p>
        </w:tc>
      </w:tr>
    </w:tbl>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lang w:val="en-US" w:eastAsia="zh-CN" w:bidi="ar-SA"/>
        </w:rPr>
      </w:pPr>
      <w:r>
        <w:rPr>
          <w:rFonts w:hint="eastAsia" w:ascii="Arial" w:hAnsi="Arial" w:cs="Arial"/>
          <w:lang w:val="en-US" w:eastAsia="zh-CN" w:bidi="ar-SA"/>
        </w:rPr>
        <w:t xml:space="preserve">According to the above contents, </w:t>
      </w:r>
      <w:bookmarkStart w:id="9" w:name="OLE_LINK3"/>
      <w:r>
        <w:rPr>
          <w:rFonts w:hint="eastAsia" w:ascii="Arial" w:hAnsi="Arial" w:cs="Arial"/>
          <w:lang w:val="en-US" w:eastAsia="zh-CN" w:bidi="ar-SA"/>
        </w:rPr>
        <w:t xml:space="preserve">it is clear that </w:t>
      </w:r>
      <w:bookmarkStart w:id="10" w:name="OLE_LINK5"/>
      <w:r>
        <w:rPr>
          <w:rFonts w:hint="eastAsia" w:ascii="Arial" w:hAnsi="Arial" w:cs="Arial"/>
          <w:lang w:val="en-US" w:eastAsia="zh-CN" w:bidi="ar-SA"/>
        </w:rPr>
        <w:t>to support ECN marking for L4S in UPF or network exposure, NG-RAN needs to report congestion information, which is the percentage of packets that should be ECN marked.</w:t>
      </w:r>
      <w:bookmarkEnd w:id="10"/>
    </w:p>
    <w:p>
      <w:pPr>
        <w:overflowPunct w:val="0"/>
        <w:autoSpaceDE w:val="0"/>
        <w:autoSpaceDN w:val="0"/>
        <w:adjustRightInd w:val="0"/>
        <w:spacing w:after="180"/>
        <w:textAlignment w:val="baseline"/>
        <w:rPr>
          <w:rFonts w:hint="default" w:ascii="Arial" w:hAnsi="Arial" w:cs="Arial"/>
          <w:b/>
          <w:bCs/>
          <w:lang w:val="en-US" w:eastAsia="zh-CN" w:bidi="ar-SA"/>
        </w:rPr>
      </w:pPr>
      <w:bookmarkStart w:id="11" w:name="OLE_LINK8"/>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bookmarkEnd w:id="11"/>
      <w:r>
        <w:rPr>
          <w:rFonts w:hint="eastAsia" w:ascii="Arial" w:hAnsi="Arial" w:cs="Arial"/>
          <w:b/>
          <w:bCs/>
          <w:lang w:val="en-US" w:eastAsia="zh-CN" w:bidi="ar-SA"/>
        </w:rPr>
        <w:t xml:space="preserve"> TS 23.501 specifies that to support ECN marking for L4S in UPF or network exposure, NG-RAN needs to report congestion information, which is </w:t>
      </w:r>
      <w:bookmarkStart w:id="12" w:name="OLE_LINK6"/>
      <w:r>
        <w:rPr>
          <w:rFonts w:hint="eastAsia" w:ascii="Arial" w:hAnsi="Arial" w:cs="Arial"/>
          <w:b/>
          <w:bCs/>
          <w:lang w:val="en-US" w:eastAsia="zh-CN" w:bidi="ar-SA"/>
        </w:rPr>
        <w:t>the percentage of packets that should be ECN marked</w:t>
      </w:r>
      <w:bookmarkEnd w:id="12"/>
      <w:r>
        <w:rPr>
          <w:rFonts w:hint="eastAsia" w:ascii="Arial" w:hAnsi="Arial" w:cs="Arial"/>
          <w:b/>
          <w:bCs/>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lang w:val="en-US" w:eastAsia="zh-CN" w:bidi="ar-SA"/>
        </w:rPr>
      </w:pPr>
      <w:r>
        <w:rPr>
          <w:rFonts w:hint="eastAsia" w:ascii="Arial" w:hAnsi="Arial" w:cs="Arial"/>
          <w:lang w:val="en-US" w:eastAsia="zh-CN" w:bidi="ar-SA"/>
        </w:rPr>
        <w:t>If congestion level percentage is used, this may cause IoT issue since vendors may have different understanding of how to calculate the congestion level percentage.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Define congestion information as a congestion level percentage may cause IoT issue.</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lang w:val="en-US" w:eastAsia="zh-CN" w:bidi="ar-SA"/>
        </w:rPr>
      </w:pPr>
      <w:r>
        <w:rPr>
          <w:rFonts w:hint="eastAsia" w:ascii="Arial" w:hAnsi="Arial" w:cs="Arial"/>
          <w:lang w:val="en-US" w:eastAsia="zh-CN" w:bidi="ar-SA"/>
        </w:rPr>
        <w:t xml:space="preserve">In addition, we have agreed to use a single piece of information produced by NG-RAN to address ECN marking for L4S at UPF and congestion information exposure. If the congestion level percentage is used, then </w:t>
      </w:r>
      <w:bookmarkStart w:id="13" w:name="OLE_LINK7"/>
      <w:r>
        <w:rPr>
          <w:rFonts w:hint="eastAsia" w:ascii="Arial" w:hAnsi="Arial" w:cs="Arial"/>
          <w:lang w:val="en-US" w:eastAsia="zh-CN" w:bidi="ar-SA"/>
        </w:rPr>
        <w:t>it is unclear how to map the congestion level percentage to the percentage of packets that should be ECN marked</w:t>
      </w:r>
      <w:bookmarkEnd w:id="13"/>
      <w:r>
        <w:rPr>
          <w:rFonts w:hint="eastAsia" w:ascii="Arial" w:hAnsi="Arial" w:cs="Arial"/>
          <w:lang w:val="en-US" w:eastAsia="zh-CN" w:bidi="ar-SA"/>
        </w:rPr>
        <w:t xml:space="preserve">. </w:t>
      </w:r>
      <w:bookmarkStart w:id="14" w:name="OLE_LINK14"/>
      <w:r>
        <w:rPr>
          <w:rFonts w:hint="eastAsia" w:ascii="Arial" w:hAnsi="Arial" w:cs="Arial"/>
          <w:lang w:val="en-US" w:eastAsia="zh-CN" w:bidi="ar-SA"/>
        </w:rPr>
        <w:t>But If the percentage of packets that should be ECN marked</w:t>
      </w:r>
      <w:bookmarkEnd w:id="14"/>
      <w:r>
        <w:rPr>
          <w:rFonts w:hint="eastAsia" w:ascii="Arial" w:hAnsi="Arial" w:cs="Arial"/>
          <w:lang w:val="en-US" w:eastAsia="zh-CN" w:bidi="ar-SA"/>
        </w:rPr>
        <w:t xml:space="preserve"> is used, the congestion level can be reflected by it.</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5" w:name="OLE_LINK15"/>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bookmarkEnd w:id="15"/>
      <w:r>
        <w:rPr>
          <w:rFonts w:hint="eastAsia" w:ascii="Arial" w:hAnsi="Arial" w:cs="Arial"/>
          <w:b/>
          <w:bCs/>
          <w:lang w:val="en-US" w:eastAsia="zh-CN" w:bidi="ar-SA"/>
        </w:rPr>
        <w:t xml:space="preserve"> It is unclear how to map the congestion level percentage to the the percentage of packets that should be ECN marked if the congestion level percentage is used as the congestion information.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percentage of packets that should be ECN marked can be used to reflect congestion level.</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congestion information reported by NG-RAN is the percentage of packets that should be ECN marked.</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lang w:val="en-US" w:eastAsia="zh-CN" w:bidi="ar-SA"/>
        </w:rPr>
      </w:pPr>
      <w:r>
        <w:rPr>
          <w:rFonts w:hint="eastAsia" w:ascii="Arial" w:hAnsi="Arial" w:cs="Arial"/>
          <w:lang w:val="en-US" w:eastAsia="zh-CN" w:bidi="ar-SA"/>
        </w:rPr>
        <w:t>Since the congestion information is used for both ECN marking for L4S at UPF and congestion information exposure, we prefer to use a generic IE name, e.g. DL/UL Congestion Information. Description can be added in the IE description part to indicate that UL/DL congestion information is a percentage of packets that should be ECN marked.</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Use a generic IE name for congestion information, e.g. DL/UL Congestion Information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 Add description in the IE description part to indicate that UL/DL congestion information is a percentage of packets that should be ECN marked.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To keep align with the IE names for user plane, the request and response IE names in the NGAP should be </w:t>
      </w:r>
      <w:r>
        <w:rPr>
          <w:rFonts w:hint="eastAsia" w:ascii="Arial" w:hAnsi="Arial" w:cs="Arial"/>
          <w:i w:val="0"/>
          <w:iCs w:val="0"/>
          <w:lang w:val="en-US" w:eastAsia="zh-CN" w:bidi="ar-SA"/>
        </w:rPr>
        <w:t>ECN Marking or Congestion Monitoring Request and ECN Marking or Congestion Monitoring Reporting Status</w:t>
      </w:r>
      <w:r>
        <w:rPr>
          <w:rFonts w:hint="eastAsia" w:ascii="Arial" w:hAnsi="Arial" w:cs="Arial"/>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 Use ECN Marking or Congestion Monitoring Request and ECN Marking or Congestion Monitoring Reporting Status IE as the request and response IE names  correspondingly in the NGAP</w:t>
      </w:r>
      <w:bookmarkStart w:id="22" w:name="_GoBack"/>
      <w:bookmarkEnd w:id="22"/>
      <w:r>
        <w:rPr>
          <w:rFonts w:hint="eastAsia" w:ascii="Arial" w:hAnsi="Arial" w:cs="Arial"/>
          <w:b/>
          <w:bCs/>
          <w:lang w:val="en-US" w:eastAsia="zh-CN" w:bidi="ar-SA"/>
        </w:rPr>
        <w:t>.</w:t>
      </w:r>
    </w:p>
    <w:p>
      <w:pPr>
        <w:pStyle w:val="4"/>
        <w:bidi w:val="0"/>
        <w:rPr>
          <w:rFonts w:hint="default"/>
          <w:lang w:val="en-US" w:eastAsia="zh-CN"/>
        </w:rPr>
      </w:pPr>
      <w:r>
        <w:rPr>
          <w:rFonts w:hint="eastAsia"/>
          <w:lang w:val="en-US" w:eastAsia="zh-CN"/>
        </w:rPr>
        <w:t>2.2.2</w:t>
      </w:r>
      <w:r>
        <w:rPr>
          <w:rFonts w:hint="eastAsia"/>
          <w:lang w:val="en-US" w:eastAsia="zh-CN"/>
        </w:rPr>
        <w:tab/>
      </w:r>
      <w:r>
        <w:rPr>
          <w:rFonts w:hint="eastAsia"/>
          <w:lang w:val="en-US" w:eastAsia="zh-CN"/>
        </w:rPr>
        <w:t>Reporting frequency/threshold</w:t>
      </w:r>
    </w:p>
    <w:p>
      <w:pPr>
        <w:overflowPunct w:val="0"/>
        <w:autoSpaceDE w:val="0"/>
        <w:autoSpaceDN w:val="0"/>
        <w:adjustRightInd w:val="0"/>
        <w:spacing w:after="180"/>
        <w:textAlignment w:val="baseline"/>
        <w:rPr>
          <w:rFonts w:hint="eastAsia" w:ascii="Arial" w:hAnsi="Arial" w:cs="Arial"/>
          <w:i w:val="0"/>
          <w:iCs w:val="0"/>
          <w:lang w:val="en-US" w:eastAsia="zh-CN" w:bidi="ar-SA"/>
        </w:rPr>
      </w:pPr>
      <w:r>
        <w:rPr>
          <w:rFonts w:hint="eastAsia" w:ascii="Arial" w:hAnsi="Arial" w:cs="Arial"/>
          <w:i w:val="0"/>
          <w:iCs w:val="0"/>
          <w:lang w:val="en-US" w:eastAsia="zh-CN" w:bidi="ar-SA"/>
        </w:rPr>
        <w:t>At the last meeting, the following issue remains open.</w:t>
      </w:r>
    </w:p>
    <w:p>
      <w:pPr>
        <w:overflowPunct w:val="0"/>
        <w:autoSpaceDE w:val="0"/>
        <w:autoSpaceDN w:val="0"/>
        <w:adjustRightInd w:val="0"/>
        <w:spacing w:after="180"/>
        <w:textAlignment w:val="baseline"/>
        <w:rPr>
          <w:rFonts w:hint="default" w:ascii="Arial" w:hAnsi="Arial" w:cs="Arial"/>
          <w:i w:val="0"/>
          <w:iCs w:val="0"/>
          <w:color w:val="0000FF"/>
          <w:lang w:val="en-US" w:eastAsia="zh-CN" w:bidi="ar-SA"/>
        </w:rPr>
      </w:pPr>
      <w:r>
        <w:rPr>
          <w:rFonts w:hint="default" w:ascii="Arial" w:hAnsi="Arial" w:cs="Arial"/>
          <w:i w:val="0"/>
          <w:iCs w:val="0"/>
          <w:color w:val="0000FF"/>
          <w:lang w:val="en-US" w:eastAsia="zh-CN" w:bidi="ar-SA"/>
        </w:rPr>
        <w:t xml:space="preserve">Whether the SMF sends the reporting frequency/threshold along with the request to RAN? Or the </w:t>
      </w:r>
      <w:bookmarkStart w:id="16" w:name="OLE_LINK10"/>
      <w:r>
        <w:rPr>
          <w:rFonts w:hint="default" w:ascii="Arial" w:hAnsi="Arial" w:cs="Arial"/>
          <w:i w:val="0"/>
          <w:iCs w:val="0"/>
          <w:color w:val="0000FF"/>
          <w:lang w:val="en-US" w:eastAsia="zh-CN" w:bidi="ar-SA"/>
        </w:rPr>
        <w:t xml:space="preserve">RAN reports </w:t>
      </w:r>
      <w:bookmarkStart w:id="17" w:name="OLE_LINK9"/>
      <w:r>
        <w:rPr>
          <w:rFonts w:hint="default" w:ascii="Arial" w:hAnsi="Arial" w:cs="Arial"/>
          <w:i w:val="0"/>
          <w:iCs w:val="0"/>
          <w:color w:val="0000FF"/>
          <w:lang w:val="en-US" w:eastAsia="zh-CN" w:bidi="ar-SA"/>
        </w:rPr>
        <w:t>updates every time the calculated percentage is different from the last signaled value</w:t>
      </w:r>
      <w:bookmarkEnd w:id="16"/>
      <w:bookmarkEnd w:id="17"/>
      <w:r>
        <w:rPr>
          <w:rFonts w:hint="default" w:ascii="Arial" w:hAnsi="Arial" w:cs="Arial"/>
          <w:i w:val="0"/>
          <w:iCs w:val="0"/>
          <w:color w:val="0000FF"/>
          <w:lang w:val="en-US" w:eastAsia="zh-CN" w:bidi="ar-SA"/>
        </w:rPr>
        <w:t>?</w:t>
      </w:r>
    </w:p>
    <w:p>
      <w:pPr>
        <w:overflowPunct w:val="0"/>
        <w:autoSpaceDE w:val="0"/>
        <w:autoSpaceDN w:val="0"/>
        <w:adjustRightInd w:val="0"/>
        <w:spacing w:after="180"/>
        <w:textAlignment w:val="baseline"/>
        <w:rPr>
          <w:rFonts w:hint="default" w:ascii="Arial" w:hAnsi="Arial" w:cs="Arial"/>
          <w:i w:val="0"/>
          <w:iCs w:val="0"/>
          <w:lang w:val="en-US" w:eastAsia="zh-CN" w:bidi="ar-SA"/>
        </w:rPr>
      </w:pPr>
      <w:r>
        <w:rPr>
          <w:rFonts w:hint="eastAsia" w:ascii="Arial" w:hAnsi="Arial" w:cs="Arial"/>
          <w:i w:val="0"/>
          <w:iCs w:val="0"/>
          <w:lang w:val="en-US" w:eastAsia="zh-CN" w:bidi="ar-SA"/>
        </w:rPr>
        <w:t>As analyzed above, the reporting information is used for ECN marking for L4S in UPF or network exposure. For network exposure, the 5GS can expose the congestion information based on the AF request, and there is no clear requirements on reporting frequency or threshold. To ensure a better user experience, a frequent reporting at RAN side would be beneficial. Letting RAN reports updates every time the calculated percentage is different from the last signaled value achieves a good trade-off between reporting burden and user experience.</w:t>
      </w:r>
    </w:p>
    <w:p>
      <w:pPr>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 RAN reports updates every time the calculated percentage is different from the last signaled value.</w:t>
      </w:r>
    </w:p>
    <w:p>
      <w:pPr>
        <w:pStyle w:val="4"/>
        <w:bidi w:val="0"/>
        <w:rPr>
          <w:rFonts w:hint="default"/>
          <w:lang w:val="en-US" w:eastAsia="zh-CN"/>
        </w:rPr>
      </w:pPr>
      <w:r>
        <w:rPr>
          <w:rFonts w:hint="eastAsia"/>
          <w:lang w:val="en-US" w:eastAsia="zh-CN"/>
        </w:rPr>
        <w:t>2.2.3</w:t>
      </w:r>
      <w:r>
        <w:rPr>
          <w:rFonts w:hint="eastAsia"/>
          <w:lang w:val="en-US" w:eastAsia="zh-CN"/>
        </w:rPr>
        <w:tab/>
      </w:r>
      <w:r>
        <w:rPr>
          <w:rFonts w:hint="eastAsia"/>
          <w:lang w:val="en-US" w:eastAsia="zh-CN"/>
        </w:rPr>
        <w:t>Response IE design</w:t>
      </w:r>
    </w:p>
    <w:p>
      <w:pPr>
        <w:overflowPunct w:val="0"/>
        <w:autoSpaceDE w:val="0"/>
        <w:autoSpaceDN w:val="0"/>
        <w:adjustRightInd w:val="0"/>
        <w:spacing w:after="180"/>
        <w:textAlignment w:val="baseline"/>
        <w:rPr>
          <w:rFonts w:hint="eastAsia" w:ascii="Arial" w:hAnsi="Arial" w:cs="Arial"/>
          <w:i w:val="0"/>
          <w:iCs w:val="0"/>
          <w:lang w:val="en-US" w:eastAsia="zh-CN" w:bidi="ar-SA"/>
        </w:rPr>
      </w:pPr>
      <w:r>
        <w:rPr>
          <w:rFonts w:hint="eastAsia" w:ascii="Arial" w:hAnsi="Arial" w:cs="Arial"/>
          <w:i w:val="0"/>
          <w:iCs w:val="0"/>
          <w:lang w:val="en-US" w:eastAsia="zh-CN" w:bidi="ar-SA"/>
        </w:rPr>
        <w:t xml:space="preserve">At the meeting, it is FFS whether </w:t>
      </w:r>
      <w:bookmarkStart w:id="18" w:name="OLE_LINK13"/>
      <w:r>
        <w:rPr>
          <w:rFonts w:hint="eastAsia" w:ascii="Arial" w:hAnsi="Arial" w:cs="Arial"/>
          <w:i w:val="0"/>
          <w:iCs w:val="0"/>
          <w:lang w:val="en-US" w:eastAsia="zh-CN" w:bidi="ar-SA"/>
        </w:rPr>
        <w:t>separate feedback IEs are needed for uplink and downlink</w:t>
      </w:r>
      <w:bookmarkEnd w:id="18"/>
      <w:r>
        <w:rPr>
          <w:rFonts w:hint="eastAsia" w:ascii="Arial" w:hAnsi="Arial" w:cs="Arial"/>
          <w:i w:val="0"/>
          <w:iCs w:val="0"/>
          <w:lang w:val="en-US" w:eastAsia="zh-CN" w:bidi="ar-SA"/>
        </w:rPr>
        <w:t xml:space="preserve">. For the request IE, there are four codepoints including ul, dl, both, and stop. This indicates that </w:t>
      </w:r>
      <w:bookmarkStart w:id="19" w:name="OLE_LINK11"/>
      <w:r>
        <w:rPr>
          <w:rFonts w:hint="eastAsia" w:ascii="Arial" w:hAnsi="Arial" w:cs="Arial"/>
          <w:i w:val="0"/>
          <w:iCs w:val="0"/>
          <w:lang w:val="en-US" w:eastAsia="zh-CN" w:bidi="ar-SA"/>
        </w:rPr>
        <w:t>only uplink or downlink ECN marking or congestion monitoring can be activated at the RAN side</w:t>
      </w:r>
      <w:bookmarkEnd w:id="19"/>
      <w:r>
        <w:rPr>
          <w:rFonts w:hint="eastAsia" w:ascii="Arial" w:hAnsi="Arial" w:cs="Arial"/>
          <w:i w:val="0"/>
          <w:iCs w:val="0"/>
          <w:lang w:val="en-US" w:eastAsia="zh-CN" w:bidi="ar-SA"/>
        </w:rPr>
        <w: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Either uplink or downlink ECN marking or congestion monitoring can be activated at the RAN side when the SMF only requests single direction activation.</w:t>
      </w:r>
    </w:p>
    <w:p>
      <w:pPr>
        <w:overflowPunct w:val="0"/>
        <w:autoSpaceDE w:val="0"/>
        <w:autoSpaceDN w:val="0"/>
        <w:adjustRightInd w:val="0"/>
        <w:spacing w:after="180"/>
        <w:textAlignment w:val="baseline"/>
        <w:rPr>
          <w:rFonts w:hint="default" w:ascii="Arial" w:hAnsi="Arial" w:cs="Arial"/>
          <w:i w:val="0"/>
          <w:iCs w:val="0"/>
          <w:lang w:val="en-US" w:eastAsia="zh-CN" w:bidi="ar-SA"/>
        </w:rPr>
      </w:pPr>
      <w:r>
        <w:rPr>
          <w:rFonts w:hint="eastAsia" w:ascii="Arial" w:hAnsi="Arial" w:cs="Arial"/>
          <w:i w:val="0"/>
          <w:iCs w:val="0"/>
          <w:lang w:val="en-US" w:eastAsia="zh-CN" w:bidi="ar-SA"/>
        </w:rPr>
        <w:t>When the SMF requests for both uplink and downlink activation, RAN can decide whether to activate both directions or either one of them.</w:t>
      </w:r>
    </w:p>
    <w:p>
      <w:pPr>
        <w:rPr>
          <w:rFonts w:hint="default"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 Use separate feedback IEs for uplink and downlink</w:t>
      </w:r>
    </w:p>
    <w:bookmarkEnd w:id="7"/>
    <w:bookmarkEnd w:id="9"/>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cs="Arial"/>
          <w:lang w:val="en-US" w:eastAsia="zh-CN" w:bidi="ar-SA"/>
        </w:rPr>
      </w:pPr>
      <w:r>
        <w:rPr>
          <w:rFonts w:ascii="Arial" w:hAnsi="Arial" w:eastAsia="宋体" w:cs="Times New Roman"/>
          <w:sz w:val="32"/>
          <w:lang w:val="en-GB" w:eastAsia="ja-JP" w:bidi="ar-SA"/>
        </w:rPr>
        <w:t>2.</w:t>
      </w:r>
      <w:bookmarkStart w:id="20" w:name="OLE_LINK17"/>
      <w:r>
        <w:rPr>
          <w:rFonts w:hint="eastAsia" w:ascii="Arial" w:hAnsi="Arial" w:eastAsia="宋体" w:cs="Times New Roman"/>
          <w:sz w:val="32"/>
          <w:lang w:val="en-US" w:eastAsia="zh-CN" w:bidi="ar-SA"/>
        </w:rPr>
        <w:t>2</w:t>
      </w:r>
      <w:r>
        <w:rPr>
          <w:rFonts w:ascii="Arial" w:hAnsi="Arial" w:eastAsia="宋体" w:cs="Times New Roman"/>
          <w:sz w:val="32"/>
          <w:lang w:val="en-GB" w:eastAsia="ja-JP" w:bidi="ar-SA"/>
        </w:rPr>
        <w:tab/>
      </w:r>
      <w:bookmarkEnd w:id="20"/>
      <w:r>
        <w:rPr>
          <w:rFonts w:hint="eastAsia" w:ascii="Arial" w:hAnsi="Arial" w:eastAsia="宋体" w:cs="Times New Roman"/>
          <w:sz w:val="32"/>
          <w:lang w:val="en-US" w:eastAsia="zh-CN" w:bidi="ar-SA"/>
        </w:rPr>
        <w:t>Discard operation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RAN2 has made the following agreements regarding UL discard operation.</w:t>
      </w:r>
    </w:p>
    <w:p>
      <w:pPr>
        <w:numPr>
          <w:ilvl w:val="0"/>
          <w:numId w:val="2"/>
        </w:num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We will use a discard timer mechanism for the low importance PDU set. We will allow a value of zero for the timer.</w:t>
      </w:r>
      <w:r>
        <w:rPr>
          <w:rFonts w:hint="eastAsia" w:ascii="Arial" w:hAnsi="Arial" w:cs="Arial"/>
          <w:color w:val="00B050"/>
          <w:lang w:val="en-US" w:eastAsia="zh-CN" w:bidi="ar-SA"/>
        </w:rPr>
        <w:t xml:space="preserve"> </w:t>
      </w:r>
      <w:r>
        <w:rPr>
          <w:rFonts w:hint="default" w:ascii="Arial" w:hAnsi="Arial" w:cs="Arial"/>
          <w:color w:val="00B050"/>
          <w:lang w:val="en-US" w:eastAsia="zh-CN" w:bidi="ar-SA"/>
        </w:rPr>
        <w:t>The running discard timers are not changed.</w:t>
      </w:r>
    </w:p>
    <w:p>
      <w:pPr>
        <w:numPr>
          <w:ilvl w:val="0"/>
          <w:numId w:val="2"/>
        </w:numPr>
        <w:overflowPunct w:val="0"/>
        <w:autoSpaceDE w:val="0"/>
        <w:autoSpaceDN w:val="0"/>
        <w:adjustRightInd w:val="0"/>
        <w:spacing w:after="180"/>
        <w:ind w:left="0" w:leftChars="0" w:firstLine="0" w:firstLineChars="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 xml:space="preserve">It is up to UE implementation to determine which PSI levels will apply the discard mechanism </w:t>
      </w:r>
    </w:p>
    <w:p>
      <w:pPr>
        <w:numPr>
          <w:ilvl w:val="0"/>
          <w:numId w:val="2"/>
        </w:numPr>
        <w:overflowPunct w:val="0"/>
        <w:autoSpaceDE w:val="0"/>
        <w:autoSpaceDN w:val="0"/>
        <w:adjustRightInd w:val="0"/>
        <w:spacing w:after="180"/>
        <w:ind w:left="0" w:leftChars="0" w:firstLine="0" w:firstLineChars="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the gNB signals an activation/deactivation indication (e.g. when congestion situation is detection)</w:t>
      </w:r>
    </w:p>
    <w:p>
      <w:pPr>
        <w:numPr>
          <w:ilvl w:val="0"/>
          <w:numId w:val="2"/>
        </w:numPr>
        <w:overflowPunct w:val="0"/>
        <w:autoSpaceDE w:val="0"/>
        <w:autoSpaceDN w:val="0"/>
        <w:adjustRightInd w:val="0"/>
        <w:spacing w:after="180"/>
        <w:ind w:left="0" w:leftChars="0" w:firstLine="0" w:firstLineChars="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activation/deactivation is signaled using an ON/OFF mechanism on a per UE basis. Introduce new MAC CE.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For UL, the UE makes decisions on the discard operation based on the discard timer mechanism. The CU configures the discard timer for the UE, but it is the DU that sends the activation/deactivation indicator to the UE via the MAC CE to activate the discard timer when the DU detects congestion. Therefore, it is necessary to let the DU know that the a discard timer is configured for the UE.</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21" w:name="OLE_LINK4"/>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CU configures the discard timer for the UE.</w:t>
      </w:r>
    </w:p>
    <w:bookmarkEnd w:id="21"/>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6: The DU sends the the activation/deactivation indicator to the UE via the MAC CE to activate the discard timer.</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7: The CU should notify the DU if a discard timer is configured for the UE.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Since the discard timer configuration is included in the RRCReconfiguration message, therefore a new indicator is needed in the DL RRC message transfer message to notify the DU that a discard timer is configured for the UE.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8: Add a new indicator in the DL RRC message transfer message to notify the DU that a discard timer is configured for the UE.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For DL, the PDCP of the NG-RAN node can make decisions on the discard operation based on implementation. A possible situation is that the CU-UP has already buffered some packets in the DU before it detects the congestion. In such case, the CU-UP needs to inform the DU to discard some or all of the buffered packets to avoid the waste of radio resources, otherwise the DU will still deliver the buffered packets to the UE. According to current TS 38.425, this function is already supported.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 possible situation is that the CU-UP has already buffered some packets in the DU before it detects the congestion. In such case, the CU-UP needs to inform the DU to discard some or all of the buffered packets to avoid the waste of radio resources, otherwise the DU will still deliver the buffered packets to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8: According to current TS 38.425, this function is already supported. Thus, no enhancement is needed to support DL discard operation.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During Handover, a case that may need enhancement is that if the PDU set discard operations is not finished by the source NG-RAN node, the source NG-RAN node needs to transfer the corresponding information to the target NG-RAN node to let the target NG-RAN node finish the discard operation. Therefore, RAN3 needs to discuss how to support the target NG-RAN node finish the discard operation in such case.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9: During Handover, if the PDU set discard operations is not finished by the source NG-RAN node, the source NG-RAN node needs to transfer corresponding information to the target NG-RAN node to let the target NG-RAN node finish the discard operation.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 RAN3 discusses what information needs to be transferred to the target NG-RAN node to support the target NG-RAN node finish the discard operation in handover case.</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TS 23.501 specifies that to support ECN marking for L4S in UPF or network exposure, NG-RAN needs to report congestion information, which is the percentage of packets that should be ECN marked.</w:t>
      </w:r>
    </w:p>
    <w:p>
      <w:pPr>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Define congestion information as a congestion level percentage may cause IoT issue.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It is unclear how to map the congestion level percentage to the the percentage of packets that should be ECN marked if the congestion level percentage is used as the congestion information.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percentage of packets that should be ECN marked can be used to reflect congestion level.</w:t>
      </w:r>
    </w:p>
    <w:p>
      <w:pPr>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congestion information reported by NG-RAN is the percentage of packets that should be ECN marked.</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Use a generic IE name for congestion information, e.g. DL/UL Congestion Information</w:t>
      </w:r>
    </w:p>
    <w:p>
      <w:pPr>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 Add description in the IE description part to indicate that UL/DL congestion information is a percentage of packets that should be ECN marked.</w:t>
      </w:r>
    </w:p>
    <w:p>
      <w:pPr>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 Use ECN Marking or Congestion Monitoring Request and ECN Marking or Congestion Monitoring Reporting Status IE as the request and response IE names  correspondingly in the NGAP.</w:t>
      </w:r>
    </w:p>
    <w:p>
      <w:pPr>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 RAN reports updates every time the calculated percentage is different from the last signaled value.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Either uplink or downlink ECN marking or congestion monitoring can be activated at the RAN side when the SMF only requests single direction activation.</w:t>
      </w:r>
    </w:p>
    <w:p>
      <w:pPr>
        <w:rPr>
          <w:rFonts w:hint="default"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 Use separate feedback IEs for uplink and downlink</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CU configures the discard timer for the UE.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6: The DU sends the the activation/deactivation indicator to the UE via the MAC CE to activate the discard timer.</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7: The CU should notify the DU if a discard timer is configured for the UE.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8: Add a new indicator in the DL RRC message transfer message to notify the DU that a discard timer is configured for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 possible situation is that the CU-UP has already buffered some packets in the DU before it detects the congestion. In such case, the CU-UP needs to inform the DU to discard some or all of the buffered packets to avoid the waste of radio resources, otherwise the DU will still deliver the buffered packets to the UE.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8: According to current TS 38.425, this function is already supported. Thus, no enhancement is needed to support DL discard operation.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9: During Handover, if the PDU set discard operations is not finished by the source NG-RAN node, the source NG-RAN node needs to transfer corresponding information to the target NG-RAN node to let the target NG-RAN node finish the discard operation.</w:t>
      </w:r>
    </w:p>
    <w:p>
      <w:pPr>
        <w:rPr>
          <w:rFonts w:hint="eastAsia" w:ascii="Arial" w:hAnsi="Arial" w:cs="Arial"/>
          <w:b/>
          <w:bCs/>
          <w:lang w:val="en-US" w:eastAsia="zh-CN" w:bidi="ar-SA"/>
        </w:rPr>
      </w:pPr>
      <w:r>
        <w:rPr>
          <w:rFonts w:hint="eastAsia" w:ascii="Arial" w:hAnsi="Arial" w:cs="Arial"/>
          <w:b/>
          <w:bCs/>
          <w:lang w:val="en-US" w:eastAsia="zh-CN" w:bidi="ar-SA"/>
        </w:rPr>
        <w:t>Proposal 9: RAN3 discusses what information needs to be transferred to the target NG-RAN node to support the target NG-RAN node finish the discard operation in handover case.</w:t>
      </w:r>
    </w:p>
    <w:sectPr>
      <w:headerReference r:id="rId3" w:type="default"/>
      <w:foot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CAE859"/>
    <w:multiLevelType w:val="singleLevel"/>
    <w:tmpl w:val="B2CAE859"/>
    <w:lvl w:ilvl="0" w:tentative="0">
      <w:start w:val="1"/>
      <w:numFmt w:val="decimal"/>
      <w:suff w:val="space"/>
      <w:lvlText w:val="%1."/>
      <w:lvlJc w:val="left"/>
    </w:lvl>
  </w:abstractNum>
  <w:abstractNum w:abstractNumId="1">
    <w:nsid w:val="09117A52"/>
    <w:multiLevelType w:val="multilevel"/>
    <w:tmpl w:val="09117A52"/>
    <w:lvl w:ilvl="0" w:tentative="0">
      <w:start w:val="0"/>
      <w:numFmt w:val="bullet"/>
      <w:lvlText w:val="-"/>
      <w:lvlJc w:val="left"/>
      <w:pPr>
        <w:ind w:left="765" w:hanging="360"/>
      </w:pPr>
      <w:rPr>
        <w:rFonts w:hint="default" w:ascii="Times New Roman" w:hAnsi="Times New Roman" w:cs="Times New Roman"/>
      </w:rPr>
    </w:lvl>
    <w:lvl w:ilvl="1" w:tentative="0">
      <w:start w:val="1"/>
      <w:numFmt w:val="bullet"/>
      <w:lvlText w:val="o"/>
      <w:lvlJc w:val="left"/>
      <w:pPr>
        <w:ind w:left="1485" w:hanging="360"/>
      </w:pPr>
      <w:rPr>
        <w:rFonts w:hint="default" w:ascii="Courier New" w:hAnsi="Courier New" w:cs="Courier New"/>
      </w:rPr>
    </w:lvl>
    <w:lvl w:ilvl="2" w:tentative="0">
      <w:start w:val="1"/>
      <w:numFmt w:val="bullet"/>
      <w:lvlText w:val=""/>
      <w:lvlJc w:val="left"/>
      <w:pPr>
        <w:ind w:left="2205" w:hanging="360"/>
      </w:pPr>
      <w:rPr>
        <w:rFonts w:hint="default" w:ascii="Wingdings" w:hAnsi="Wingdings"/>
      </w:rPr>
    </w:lvl>
    <w:lvl w:ilvl="3" w:tentative="0">
      <w:start w:val="1"/>
      <w:numFmt w:val="bullet"/>
      <w:lvlText w:val=""/>
      <w:lvlJc w:val="left"/>
      <w:pPr>
        <w:ind w:left="2925" w:hanging="360"/>
      </w:pPr>
      <w:rPr>
        <w:rFonts w:hint="default" w:ascii="Symbol" w:hAnsi="Symbol"/>
      </w:rPr>
    </w:lvl>
    <w:lvl w:ilvl="4" w:tentative="0">
      <w:start w:val="1"/>
      <w:numFmt w:val="bullet"/>
      <w:lvlText w:val="o"/>
      <w:lvlJc w:val="left"/>
      <w:pPr>
        <w:ind w:left="3645" w:hanging="360"/>
      </w:pPr>
      <w:rPr>
        <w:rFonts w:hint="default" w:ascii="Courier New" w:hAnsi="Courier New" w:cs="Courier New"/>
      </w:rPr>
    </w:lvl>
    <w:lvl w:ilvl="5" w:tentative="0">
      <w:start w:val="1"/>
      <w:numFmt w:val="bullet"/>
      <w:lvlText w:val=""/>
      <w:lvlJc w:val="left"/>
      <w:pPr>
        <w:ind w:left="4365" w:hanging="360"/>
      </w:pPr>
      <w:rPr>
        <w:rFonts w:hint="default" w:ascii="Wingdings" w:hAnsi="Wingdings"/>
      </w:rPr>
    </w:lvl>
    <w:lvl w:ilvl="6" w:tentative="0">
      <w:start w:val="1"/>
      <w:numFmt w:val="bullet"/>
      <w:lvlText w:val=""/>
      <w:lvlJc w:val="left"/>
      <w:pPr>
        <w:ind w:left="5085" w:hanging="360"/>
      </w:pPr>
      <w:rPr>
        <w:rFonts w:hint="default" w:ascii="Symbol" w:hAnsi="Symbol"/>
      </w:rPr>
    </w:lvl>
    <w:lvl w:ilvl="7" w:tentative="0">
      <w:start w:val="1"/>
      <w:numFmt w:val="bullet"/>
      <w:lvlText w:val="o"/>
      <w:lvlJc w:val="left"/>
      <w:pPr>
        <w:ind w:left="5805" w:hanging="360"/>
      </w:pPr>
      <w:rPr>
        <w:rFonts w:hint="default" w:ascii="Courier New" w:hAnsi="Courier New" w:cs="Courier New"/>
      </w:rPr>
    </w:lvl>
    <w:lvl w:ilvl="8" w:tentative="0">
      <w:start w:val="1"/>
      <w:numFmt w:val="bullet"/>
      <w:lvlText w:val=""/>
      <w:lvlJc w:val="left"/>
      <w:pPr>
        <w:ind w:left="6525"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3D57"/>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2164"/>
    <w:rsid w:val="00C5481B"/>
    <w:rsid w:val="00C573F0"/>
    <w:rsid w:val="00C74ED2"/>
    <w:rsid w:val="00C95985"/>
    <w:rsid w:val="00C95B80"/>
    <w:rsid w:val="00CA6304"/>
    <w:rsid w:val="00CB512D"/>
    <w:rsid w:val="00CC5026"/>
    <w:rsid w:val="00CC644F"/>
    <w:rsid w:val="00CE5C0E"/>
    <w:rsid w:val="00CE7E40"/>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D3F2B"/>
    <w:rsid w:val="00EE0733"/>
    <w:rsid w:val="00EE7D7C"/>
    <w:rsid w:val="00EF376B"/>
    <w:rsid w:val="00EF3A19"/>
    <w:rsid w:val="00F03AED"/>
    <w:rsid w:val="00F03C76"/>
    <w:rsid w:val="00F10B0F"/>
    <w:rsid w:val="00F11694"/>
    <w:rsid w:val="00F13DE7"/>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303CC0"/>
    <w:rsid w:val="01586ECB"/>
    <w:rsid w:val="01BF2886"/>
    <w:rsid w:val="01F97436"/>
    <w:rsid w:val="021100AD"/>
    <w:rsid w:val="02314CFB"/>
    <w:rsid w:val="029606A0"/>
    <w:rsid w:val="02B6410D"/>
    <w:rsid w:val="02DF7082"/>
    <w:rsid w:val="02E32D0C"/>
    <w:rsid w:val="031E641C"/>
    <w:rsid w:val="03286CDA"/>
    <w:rsid w:val="03C04C4C"/>
    <w:rsid w:val="046B0AFB"/>
    <w:rsid w:val="04703443"/>
    <w:rsid w:val="047B6766"/>
    <w:rsid w:val="04902C29"/>
    <w:rsid w:val="050A49E9"/>
    <w:rsid w:val="05953386"/>
    <w:rsid w:val="05D73FFA"/>
    <w:rsid w:val="05FC4D85"/>
    <w:rsid w:val="06022609"/>
    <w:rsid w:val="066427D8"/>
    <w:rsid w:val="06657134"/>
    <w:rsid w:val="069D68B5"/>
    <w:rsid w:val="07204C1E"/>
    <w:rsid w:val="072C56DF"/>
    <w:rsid w:val="073A54FF"/>
    <w:rsid w:val="076463B1"/>
    <w:rsid w:val="077B7081"/>
    <w:rsid w:val="078E190B"/>
    <w:rsid w:val="07B938B0"/>
    <w:rsid w:val="07D32521"/>
    <w:rsid w:val="0803179D"/>
    <w:rsid w:val="0829233F"/>
    <w:rsid w:val="082F3E1F"/>
    <w:rsid w:val="083C4E88"/>
    <w:rsid w:val="084565E0"/>
    <w:rsid w:val="08597116"/>
    <w:rsid w:val="08785325"/>
    <w:rsid w:val="08AA5582"/>
    <w:rsid w:val="08B05294"/>
    <w:rsid w:val="08B769CC"/>
    <w:rsid w:val="08D54294"/>
    <w:rsid w:val="093B311B"/>
    <w:rsid w:val="094A5EB7"/>
    <w:rsid w:val="0AD4722D"/>
    <w:rsid w:val="0ADD5BA9"/>
    <w:rsid w:val="0AFC0F22"/>
    <w:rsid w:val="0B7E552D"/>
    <w:rsid w:val="0B92542A"/>
    <w:rsid w:val="0C1E4482"/>
    <w:rsid w:val="0C543201"/>
    <w:rsid w:val="0C5A3060"/>
    <w:rsid w:val="0CDA2211"/>
    <w:rsid w:val="0D35089D"/>
    <w:rsid w:val="0D5E5037"/>
    <w:rsid w:val="0D7D6ED6"/>
    <w:rsid w:val="0E1A67A7"/>
    <w:rsid w:val="0E1F3B50"/>
    <w:rsid w:val="0E626452"/>
    <w:rsid w:val="0E722A60"/>
    <w:rsid w:val="0E79247A"/>
    <w:rsid w:val="0E843501"/>
    <w:rsid w:val="0EC35304"/>
    <w:rsid w:val="0EC87264"/>
    <w:rsid w:val="0F4E6941"/>
    <w:rsid w:val="0F86080F"/>
    <w:rsid w:val="0FB56966"/>
    <w:rsid w:val="0FC6099E"/>
    <w:rsid w:val="104739A0"/>
    <w:rsid w:val="105D2496"/>
    <w:rsid w:val="10A165AE"/>
    <w:rsid w:val="10E768B3"/>
    <w:rsid w:val="10F42EB7"/>
    <w:rsid w:val="110B6630"/>
    <w:rsid w:val="112F3A1A"/>
    <w:rsid w:val="11B41B6D"/>
    <w:rsid w:val="11BC0671"/>
    <w:rsid w:val="121A489B"/>
    <w:rsid w:val="1244052C"/>
    <w:rsid w:val="128B4079"/>
    <w:rsid w:val="12AE3BE5"/>
    <w:rsid w:val="12E01CD0"/>
    <w:rsid w:val="130F0760"/>
    <w:rsid w:val="136100DD"/>
    <w:rsid w:val="138F7356"/>
    <w:rsid w:val="13A16BC6"/>
    <w:rsid w:val="140928EF"/>
    <w:rsid w:val="14337D09"/>
    <w:rsid w:val="14562363"/>
    <w:rsid w:val="145A5979"/>
    <w:rsid w:val="14711EAF"/>
    <w:rsid w:val="14955CB4"/>
    <w:rsid w:val="14C01F86"/>
    <w:rsid w:val="14CE49D0"/>
    <w:rsid w:val="14EC0CAB"/>
    <w:rsid w:val="15022301"/>
    <w:rsid w:val="15392E1F"/>
    <w:rsid w:val="154650BA"/>
    <w:rsid w:val="15725EED"/>
    <w:rsid w:val="159513D2"/>
    <w:rsid w:val="15F9651E"/>
    <w:rsid w:val="161D7566"/>
    <w:rsid w:val="16672F70"/>
    <w:rsid w:val="16674E62"/>
    <w:rsid w:val="16892D39"/>
    <w:rsid w:val="16B653CD"/>
    <w:rsid w:val="16C14D75"/>
    <w:rsid w:val="16CE0C48"/>
    <w:rsid w:val="16E41D21"/>
    <w:rsid w:val="17033956"/>
    <w:rsid w:val="170449DD"/>
    <w:rsid w:val="171F39A9"/>
    <w:rsid w:val="173B0769"/>
    <w:rsid w:val="173D3649"/>
    <w:rsid w:val="17405C8B"/>
    <w:rsid w:val="17585B89"/>
    <w:rsid w:val="17A33982"/>
    <w:rsid w:val="17D94281"/>
    <w:rsid w:val="17E32083"/>
    <w:rsid w:val="18015D3E"/>
    <w:rsid w:val="19083324"/>
    <w:rsid w:val="19400D3F"/>
    <w:rsid w:val="19C54DB4"/>
    <w:rsid w:val="1A7E0497"/>
    <w:rsid w:val="1B1559FA"/>
    <w:rsid w:val="1B2A29F5"/>
    <w:rsid w:val="1B2F24DA"/>
    <w:rsid w:val="1B8626B5"/>
    <w:rsid w:val="1B875624"/>
    <w:rsid w:val="1BD74747"/>
    <w:rsid w:val="1BF429A0"/>
    <w:rsid w:val="1C00256F"/>
    <w:rsid w:val="1C73493E"/>
    <w:rsid w:val="1C736ED2"/>
    <w:rsid w:val="1CAE396C"/>
    <w:rsid w:val="1CC334B1"/>
    <w:rsid w:val="1D7F2FA3"/>
    <w:rsid w:val="1D8B2BA0"/>
    <w:rsid w:val="1D9C1C88"/>
    <w:rsid w:val="1D9C3FFD"/>
    <w:rsid w:val="1DD00AF8"/>
    <w:rsid w:val="1E0661A0"/>
    <w:rsid w:val="1E1008EF"/>
    <w:rsid w:val="1E1C555D"/>
    <w:rsid w:val="1E224E5F"/>
    <w:rsid w:val="1E2971F0"/>
    <w:rsid w:val="1E2B5675"/>
    <w:rsid w:val="1E7E13AF"/>
    <w:rsid w:val="1EF342E4"/>
    <w:rsid w:val="1F0856B9"/>
    <w:rsid w:val="1F0F700D"/>
    <w:rsid w:val="1F7E42A1"/>
    <w:rsid w:val="1FE75287"/>
    <w:rsid w:val="1FE82C06"/>
    <w:rsid w:val="20846BAD"/>
    <w:rsid w:val="20ED1FDB"/>
    <w:rsid w:val="20EF2DD9"/>
    <w:rsid w:val="211C3A2E"/>
    <w:rsid w:val="22514B69"/>
    <w:rsid w:val="22910AD3"/>
    <w:rsid w:val="22A13640"/>
    <w:rsid w:val="22BD67D5"/>
    <w:rsid w:val="22BD6A6D"/>
    <w:rsid w:val="230D6334"/>
    <w:rsid w:val="234B77C8"/>
    <w:rsid w:val="235330A3"/>
    <w:rsid w:val="23563466"/>
    <w:rsid w:val="23D9229C"/>
    <w:rsid w:val="23FC36DA"/>
    <w:rsid w:val="24283E8E"/>
    <w:rsid w:val="24302660"/>
    <w:rsid w:val="24B163F7"/>
    <w:rsid w:val="256274BB"/>
    <w:rsid w:val="257A73D0"/>
    <w:rsid w:val="25ED790B"/>
    <w:rsid w:val="263B3005"/>
    <w:rsid w:val="266B1C01"/>
    <w:rsid w:val="26E03DD5"/>
    <w:rsid w:val="27BE46E1"/>
    <w:rsid w:val="27C5473E"/>
    <w:rsid w:val="28284F4D"/>
    <w:rsid w:val="28744B46"/>
    <w:rsid w:val="29235FF2"/>
    <w:rsid w:val="29A15A27"/>
    <w:rsid w:val="29A61A0E"/>
    <w:rsid w:val="2A3C5549"/>
    <w:rsid w:val="2A7F3D25"/>
    <w:rsid w:val="2A8441C6"/>
    <w:rsid w:val="2A9F5779"/>
    <w:rsid w:val="2ACC6328"/>
    <w:rsid w:val="2AE722BA"/>
    <w:rsid w:val="2B5958D1"/>
    <w:rsid w:val="2B70056F"/>
    <w:rsid w:val="2B7B1378"/>
    <w:rsid w:val="2BA75D97"/>
    <w:rsid w:val="2BBA4A9E"/>
    <w:rsid w:val="2BCC7B24"/>
    <w:rsid w:val="2BF849F8"/>
    <w:rsid w:val="2C47711C"/>
    <w:rsid w:val="2C59026C"/>
    <w:rsid w:val="2C731D83"/>
    <w:rsid w:val="2C7D1C6D"/>
    <w:rsid w:val="2C8B128E"/>
    <w:rsid w:val="2CF90952"/>
    <w:rsid w:val="2D2E36F1"/>
    <w:rsid w:val="2E2748B6"/>
    <w:rsid w:val="2E2D7057"/>
    <w:rsid w:val="2E391103"/>
    <w:rsid w:val="2EFA0A68"/>
    <w:rsid w:val="2F1B78B5"/>
    <w:rsid w:val="2F2A58AF"/>
    <w:rsid w:val="2F3B5992"/>
    <w:rsid w:val="2F836461"/>
    <w:rsid w:val="30131C2B"/>
    <w:rsid w:val="302343BC"/>
    <w:rsid w:val="30280CB2"/>
    <w:rsid w:val="304F7AD8"/>
    <w:rsid w:val="30972CD5"/>
    <w:rsid w:val="30AD5AB4"/>
    <w:rsid w:val="30D0305A"/>
    <w:rsid w:val="30FB4BBC"/>
    <w:rsid w:val="30FC4B5C"/>
    <w:rsid w:val="31077786"/>
    <w:rsid w:val="313E6171"/>
    <w:rsid w:val="31725D88"/>
    <w:rsid w:val="31EE6570"/>
    <w:rsid w:val="32000636"/>
    <w:rsid w:val="32567038"/>
    <w:rsid w:val="325A31BA"/>
    <w:rsid w:val="325C1658"/>
    <w:rsid w:val="327270CC"/>
    <w:rsid w:val="32BC6B05"/>
    <w:rsid w:val="330703ED"/>
    <w:rsid w:val="331A4DC5"/>
    <w:rsid w:val="331B2431"/>
    <w:rsid w:val="33395291"/>
    <w:rsid w:val="341F1AE0"/>
    <w:rsid w:val="34B4368E"/>
    <w:rsid w:val="34F722E1"/>
    <w:rsid w:val="34FC137E"/>
    <w:rsid w:val="34FE7D1C"/>
    <w:rsid w:val="355C12A3"/>
    <w:rsid w:val="35770553"/>
    <w:rsid w:val="35DE7FFC"/>
    <w:rsid w:val="360B0AE8"/>
    <w:rsid w:val="36725295"/>
    <w:rsid w:val="367766C2"/>
    <w:rsid w:val="369D11F6"/>
    <w:rsid w:val="36FC310E"/>
    <w:rsid w:val="379C7B25"/>
    <w:rsid w:val="37EF36A8"/>
    <w:rsid w:val="3816248E"/>
    <w:rsid w:val="387021EB"/>
    <w:rsid w:val="38BC1207"/>
    <w:rsid w:val="38E13258"/>
    <w:rsid w:val="38EB6E92"/>
    <w:rsid w:val="39027244"/>
    <w:rsid w:val="391730B9"/>
    <w:rsid w:val="39645C03"/>
    <w:rsid w:val="39986681"/>
    <w:rsid w:val="39A23D00"/>
    <w:rsid w:val="39CE3BB6"/>
    <w:rsid w:val="39D81654"/>
    <w:rsid w:val="39DC44A0"/>
    <w:rsid w:val="39DE2C23"/>
    <w:rsid w:val="3A14445A"/>
    <w:rsid w:val="3A1916D3"/>
    <w:rsid w:val="3A827982"/>
    <w:rsid w:val="3B4300E3"/>
    <w:rsid w:val="3B6D50DB"/>
    <w:rsid w:val="3B8F5FB6"/>
    <w:rsid w:val="3BE34C0E"/>
    <w:rsid w:val="3C1F56A2"/>
    <w:rsid w:val="3C2069E4"/>
    <w:rsid w:val="3C5A1BC8"/>
    <w:rsid w:val="3C866FCB"/>
    <w:rsid w:val="3CCC4FA4"/>
    <w:rsid w:val="3CD27840"/>
    <w:rsid w:val="3D2E2BD1"/>
    <w:rsid w:val="3D4C6B6A"/>
    <w:rsid w:val="3D790BBA"/>
    <w:rsid w:val="3DAA6046"/>
    <w:rsid w:val="3DF72A5B"/>
    <w:rsid w:val="3E6029C2"/>
    <w:rsid w:val="3E8E4BA9"/>
    <w:rsid w:val="3EA145D3"/>
    <w:rsid w:val="3EA202F2"/>
    <w:rsid w:val="3EE53406"/>
    <w:rsid w:val="3F4C1C42"/>
    <w:rsid w:val="3F6B3E95"/>
    <w:rsid w:val="3F83490A"/>
    <w:rsid w:val="3F842F4B"/>
    <w:rsid w:val="3F8C7486"/>
    <w:rsid w:val="3F9B7582"/>
    <w:rsid w:val="3FA6023D"/>
    <w:rsid w:val="3FBF6B98"/>
    <w:rsid w:val="3FD8771B"/>
    <w:rsid w:val="3FE67FE0"/>
    <w:rsid w:val="40115EBC"/>
    <w:rsid w:val="40120AD4"/>
    <w:rsid w:val="403834B5"/>
    <w:rsid w:val="40390BE9"/>
    <w:rsid w:val="40755CAB"/>
    <w:rsid w:val="408F75BE"/>
    <w:rsid w:val="4132320E"/>
    <w:rsid w:val="418A1D76"/>
    <w:rsid w:val="4192019E"/>
    <w:rsid w:val="41A16E89"/>
    <w:rsid w:val="41A50FB2"/>
    <w:rsid w:val="41AC0492"/>
    <w:rsid w:val="41B85487"/>
    <w:rsid w:val="41E528F0"/>
    <w:rsid w:val="41F97FAB"/>
    <w:rsid w:val="41FF7783"/>
    <w:rsid w:val="420644A1"/>
    <w:rsid w:val="4236096F"/>
    <w:rsid w:val="428D2930"/>
    <w:rsid w:val="431F6D36"/>
    <w:rsid w:val="43441A86"/>
    <w:rsid w:val="43833935"/>
    <w:rsid w:val="43A24F77"/>
    <w:rsid w:val="43BF168B"/>
    <w:rsid w:val="444F28EC"/>
    <w:rsid w:val="44615097"/>
    <w:rsid w:val="446A47A9"/>
    <w:rsid w:val="44D67D94"/>
    <w:rsid w:val="45104C14"/>
    <w:rsid w:val="452E1CF6"/>
    <w:rsid w:val="453D654E"/>
    <w:rsid w:val="456831C1"/>
    <w:rsid w:val="4573127A"/>
    <w:rsid w:val="458A1718"/>
    <w:rsid w:val="45977A54"/>
    <w:rsid w:val="45E715CE"/>
    <w:rsid w:val="46654313"/>
    <w:rsid w:val="46677118"/>
    <w:rsid w:val="46F17CBA"/>
    <w:rsid w:val="46F509C7"/>
    <w:rsid w:val="48A62C0C"/>
    <w:rsid w:val="49B104D5"/>
    <w:rsid w:val="49C42C5E"/>
    <w:rsid w:val="4A0C3A10"/>
    <w:rsid w:val="4A8C19D8"/>
    <w:rsid w:val="4A961953"/>
    <w:rsid w:val="4ABD2146"/>
    <w:rsid w:val="4AC05BB3"/>
    <w:rsid w:val="4AD6464C"/>
    <w:rsid w:val="4AFF3F9C"/>
    <w:rsid w:val="4B0C464D"/>
    <w:rsid w:val="4B1165BF"/>
    <w:rsid w:val="4B190F1F"/>
    <w:rsid w:val="4B2405D2"/>
    <w:rsid w:val="4B403662"/>
    <w:rsid w:val="4B660899"/>
    <w:rsid w:val="4B825093"/>
    <w:rsid w:val="4C4A01FB"/>
    <w:rsid w:val="4D094B1B"/>
    <w:rsid w:val="4D165519"/>
    <w:rsid w:val="4D4B58B2"/>
    <w:rsid w:val="4D96053F"/>
    <w:rsid w:val="4DF57E2F"/>
    <w:rsid w:val="4E2F142B"/>
    <w:rsid w:val="4E5A5D02"/>
    <w:rsid w:val="4EBB00C5"/>
    <w:rsid w:val="4EDD3DFB"/>
    <w:rsid w:val="4F1A0D32"/>
    <w:rsid w:val="4FB11CA9"/>
    <w:rsid w:val="4FFC51F3"/>
    <w:rsid w:val="50A95170"/>
    <w:rsid w:val="51067056"/>
    <w:rsid w:val="513F0901"/>
    <w:rsid w:val="514E4CD0"/>
    <w:rsid w:val="518A4738"/>
    <w:rsid w:val="51977D10"/>
    <w:rsid w:val="52425B56"/>
    <w:rsid w:val="53276206"/>
    <w:rsid w:val="534477AF"/>
    <w:rsid w:val="537E4D3C"/>
    <w:rsid w:val="543658E5"/>
    <w:rsid w:val="543A667C"/>
    <w:rsid w:val="548C5D47"/>
    <w:rsid w:val="54C53E34"/>
    <w:rsid w:val="54C6143C"/>
    <w:rsid w:val="54EE30CD"/>
    <w:rsid w:val="554A3EEC"/>
    <w:rsid w:val="556340B1"/>
    <w:rsid w:val="557E5ECC"/>
    <w:rsid w:val="559B3002"/>
    <w:rsid w:val="55A64981"/>
    <w:rsid w:val="55C54239"/>
    <w:rsid w:val="56311255"/>
    <w:rsid w:val="568B4400"/>
    <w:rsid w:val="56937E26"/>
    <w:rsid w:val="56E441F8"/>
    <w:rsid w:val="56F27BA6"/>
    <w:rsid w:val="57314D65"/>
    <w:rsid w:val="57314D78"/>
    <w:rsid w:val="57A0615A"/>
    <w:rsid w:val="57ED2F4E"/>
    <w:rsid w:val="580A27CE"/>
    <w:rsid w:val="580A3EBC"/>
    <w:rsid w:val="581A7A66"/>
    <w:rsid w:val="582E029E"/>
    <w:rsid w:val="584D554C"/>
    <w:rsid w:val="585E4FF3"/>
    <w:rsid w:val="586713D9"/>
    <w:rsid w:val="5896385C"/>
    <w:rsid w:val="58AA02B8"/>
    <w:rsid w:val="58B52C39"/>
    <w:rsid w:val="5A1024D4"/>
    <w:rsid w:val="5A7C5B0B"/>
    <w:rsid w:val="5AA26DC7"/>
    <w:rsid w:val="5AC94A10"/>
    <w:rsid w:val="5AE54B43"/>
    <w:rsid w:val="5AE84D17"/>
    <w:rsid w:val="5AE85443"/>
    <w:rsid w:val="5AFA13FE"/>
    <w:rsid w:val="5B2C254C"/>
    <w:rsid w:val="5B563943"/>
    <w:rsid w:val="5C01140E"/>
    <w:rsid w:val="5C2B5914"/>
    <w:rsid w:val="5C3F53E2"/>
    <w:rsid w:val="5CA16BB5"/>
    <w:rsid w:val="5CCD1FD6"/>
    <w:rsid w:val="5CE20B9F"/>
    <w:rsid w:val="5D2407CA"/>
    <w:rsid w:val="5D707A7D"/>
    <w:rsid w:val="5DE661A6"/>
    <w:rsid w:val="5DF85A60"/>
    <w:rsid w:val="5E237DDC"/>
    <w:rsid w:val="5E4C4121"/>
    <w:rsid w:val="5EAD5017"/>
    <w:rsid w:val="5F4E3CEE"/>
    <w:rsid w:val="5F9277AC"/>
    <w:rsid w:val="5FCA239F"/>
    <w:rsid w:val="5FD71ABA"/>
    <w:rsid w:val="601C4126"/>
    <w:rsid w:val="60D12ECB"/>
    <w:rsid w:val="60EF2AA3"/>
    <w:rsid w:val="61352AE1"/>
    <w:rsid w:val="61537C04"/>
    <w:rsid w:val="61775244"/>
    <w:rsid w:val="61A10B39"/>
    <w:rsid w:val="61AA751B"/>
    <w:rsid w:val="61E26061"/>
    <w:rsid w:val="622644D4"/>
    <w:rsid w:val="62762425"/>
    <w:rsid w:val="62860820"/>
    <w:rsid w:val="62ED4692"/>
    <w:rsid w:val="635105BF"/>
    <w:rsid w:val="6364267C"/>
    <w:rsid w:val="63993A57"/>
    <w:rsid w:val="63DE254B"/>
    <w:rsid w:val="6416293D"/>
    <w:rsid w:val="64444586"/>
    <w:rsid w:val="645E0A74"/>
    <w:rsid w:val="64A25D5B"/>
    <w:rsid w:val="64BD298F"/>
    <w:rsid w:val="651938D3"/>
    <w:rsid w:val="65446827"/>
    <w:rsid w:val="65614A1F"/>
    <w:rsid w:val="65871A77"/>
    <w:rsid w:val="659C325B"/>
    <w:rsid w:val="65B149F1"/>
    <w:rsid w:val="66097465"/>
    <w:rsid w:val="66513898"/>
    <w:rsid w:val="66594725"/>
    <w:rsid w:val="66C26558"/>
    <w:rsid w:val="66CA235F"/>
    <w:rsid w:val="66FC4B5B"/>
    <w:rsid w:val="67440738"/>
    <w:rsid w:val="674527BB"/>
    <w:rsid w:val="675E1479"/>
    <w:rsid w:val="677F7D79"/>
    <w:rsid w:val="6791705A"/>
    <w:rsid w:val="67C45536"/>
    <w:rsid w:val="67EF55A5"/>
    <w:rsid w:val="67FC6DE9"/>
    <w:rsid w:val="682702CE"/>
    <w:rsid w:val="682A28D5"/>
    <w:rsid w:val="687D4805"/>
    <w:rsid w:val="68F30549"/>
    <w:rsid w:val="68FE0FE9"/>
    <w:rsid w:val="690B1094"/>
    <w:rsid w:val="692B6880"/>
    <w:rsid w:val="69531CB9"/>
    <w:rsid w:val="6A2A2B79"/>
    <w:rsid w:val="6AB20AAB"/>
    <w:rsid w:val="6AC72B14"/>
    <w:rsid w:val="6B3876E4"/>
    <w:rsid w:val="6B923091"/>
    <w:rsid w:val="6C0F4EDB"/>
    <w:rsid w:val="6C763FB2"/>
    <w:rsid w:val="6CCC3613"/>
    <w:rsid w:val="6CCF3BC8"/>
    <w:rsid w:val="6CD61101"/>
    <w:rsid w:val="6D774BED"/>
    <w:rsid w:val="6DA75965"/>
    <w:rsid w:val="6DCE4401"/>
    <w:rsid w:val="6DD759AD"/>
    <w:rsid w:val="6E271126"/>
    <w:rsid w:val="6E637A9D"/>
    <w:rsid w:val="6E974D86"/>
    <w:rsid w:val="6EA0428B"/>
    <w:rsid w:val="6EEA5749"/>
    <w:rsid w:val="6F0B7389"/>
    <w:rsid w:val="6FC4490D"/>
    <w:rsid w:val="6FDD6311"/>
    <w:rsid w:val="6FF40287"/>
    <w:rsid w:val="708672B9"/>
    <w:rsid w:val="708673CA"/>
    <w:rsid w:val="70940D9C"/>
    <w:rsid w:val="70E466B7"/>
    <w:rsid w:val="710E3FA7"/>
    <w:rsid w:val="715258D0"/>
    <w:rsid w:val="71632467"/>
    <w:rsid w:val="7175278D"/>
    <w:rsid w:val="717B6A2A"/>
    <w:rsid w:val="719D4B0B"/>
    <w:rsid w:val="71A779BF"/>
    <w:rsid w:val="71F8079E"/>
    <w:rsid w:val="72696CD3"/>
    <w:rsid w:val="729C6969"/>
    <w:rsid w:val="729E5206"/>
    <w:rsid w:val="72A714BD"/>
    <w:rsid w:val="72B35206"/>
    <w:rsid w:val="734769A2"/>
    <w:rsid w:val="734A0898"/>
    <w:rsid w:val="73916161"/>
    <w:rsid w:val="73B27046"/>
    <w:rsid w:val="740E76E4"/>
    <w:rsid w:val="743E1400"/>
    <w:rsid w:val="74FA12A9"/>
    <w:rsid w:val="75063BBA"/>
    <w:rsid w:val="7571766F"/>
    <w:rsid w:val="758F581D"/>
    <w:rsid w:val="759A0B8C"/>
    <w:rsid w:val="75BF68C1"/>
    <w:rsid w:val="75CC16B7"/>
    <w:rsid w:val="75DB17A2"/>
    <w:rsid w:val="761514FD"/>
    <w:rsid w:val="765D66F3"/>
    <w:rsid w:val="76600B15"/>
    <w:rsid w:val="76A44FE3"/>
    <w:rsid w:val="76E7751D"/>
    <w:rsid w:val="773F160A"/>
    <w:rsid w:val="77452250"/>
    <w:rsid w:val="77605294"/>
    <w:rsid w:val="7771450A"/>
    <w:rsid w:val="77D304C9"/>
    <w:rsid w:val="77EC059E"/>
    <w:rsid w:val="78447740"/>
    <w:rsid w:val="78744948"/>
    <w:rsid w:val="78924924"/>
    <w:rsid w:val="78A06036"/>
    <w:rsid w:val="793368E9"/>
    <w:rsid w:val="79654959"/>
    <w:rsid w:val="796F7DD8"/>
    <w:rsid w:val="79A45BC8"/>
    <w:rsid w:val="79B03885"/>
    <w:rsid w:val="7A1B518A"/>
    <w:rsid w:val="7A250C93"/>
    <w:rsid w:val="7AFB035C"/>
    <w:rsid w:val="7B3A4EAC"/>
    <w:rsid w:val="7B5A42EF"/>
    <w:rsid w:val="7B6F3F39"/>
    <w:rsid w:val="7B90290D"/>
    <w:rsid w:val="7CAD30F6"/>
    <w:rsid w:val="7D7C1EF8"/>
    <w:rsid w:val="7DAF11C3"/>
    <w:rsid w:val="7DDD5E49"/>
    <w:rsid w:val="7DFE012D"/>
    <w:rsid w:val="7E054230"/>
    <w:rsid w:val="7E0878D8"/>
    <w:rsid w:val="7E1B625B"/>
    <w:rsid w:val="7E2154E7"/>
    <w:rsid w:val="7E481BF4"/>
    <w:rsid w:val="7E6777CB"/>
    <w:rsid w:val="7ECB76BD"/>
    <w:rsid w:val="7F0610EA"/>
    <w:rsid w:val="7F5D20B4"/>
    <w:rsid w:val="7FCB7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character" w:customStyle="1" w:styleId="118">
    <w:name w:val="msoins"/>
    <w:qFormat/>
    <w:uiPriority w:val="0"/>
  </w:style>
  <w:style w:type="paragraph" w:customStyle="1" w:styleId="119">
    <w:name w:val="List Paragraph"/>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cs="Times New Roman"/>
      <w:sz w:val="24"/>
      <w:szCs w:val="24"/>
      <w:lang w:val="en-US" w:eastAsia="zh-CN" w:bidi="ar-SA"/>
    </w:rPr>
  </w:style>
  <w:style w:type="paragraph" w:customStyle="1" w:styleId="120">
    <w:name w:val="Normal4"/>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2023-11-03T06:05:22Z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